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73D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rPr>
          <w:b/>
          <w:bCs/>
        </w:rPr>
        <w:t>Administration</w:t>
      </w:r>
      <w:r>
        <w:rPr>
          <w:b/>
          <w:bCs/>
        </w:rPr>
        <w:tab/>
      </w:r>
      <w:r>
        <w:t>BP 2220</w:t>
      </w:r>
    </w:p>
    <w:p w14:paraId="57E18C7C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2D75C46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ADMINISTRATIVE STAFF ORGANIZATION</w:t>
      </w:r>
    </w:p>
    <w:p w14:paraId="4154E6BE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124D013" w14:textId="3BE41ED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Executive </w:t>
      </w:r>
      <w:r>
        <w:t>Director</w:t>
      </w:r>
      <w:r>
        <w:t xml:space="preserve"> shall organize the administrative staff in a manner that best supports the educational program through efficient operations, effective </w:t>
      </w:r>
      <w:proofErr w:type="gramStart"/>
      <w:r>
        <w:t>communications</w:t>
      </w:r>
      <w:proofErr w:type="gramEnd"/>
      <w:r>
        <w:t xml:space="preserve"> and direct assistance to the program.</w:t>
      </w:r>
    </w:p>
    <w:p w14:paraId="2C4F6CED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E129C08" w14:textId="554C93D9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 xml:space="preserve">(cf. 2110 </w:t>
      </w:r>
      <w:r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>Executive Director</w:t>
      </w:r>
      <w:r>
        <w:rPr>
          <w:i/>
          <w:iCs/>
          <w:sz w:val="20"/>
        </w:rPr>
        <w:t xml:space="preserve"> Responsibilities and Duties)</w:t>
      </w:r>
    </w:p>
    <w:p w14:paraId="2AF8DA3D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4300 - Administrative and Supervisory Personnel)</w:t>
      </w:r>
    </w:p>
    <w:p w14:paraId="27D92F67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51FC42B5" w14:textId="305F1643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Executive Director shall maintain a current </w:t>
      </w:r>
      <w:r>
        <w:t>College and Career Advantage (CCA)</w:t>
      </w:r>
      <w:r>
        <w:t xml:space="preserve"> Regional Occupational Program (ROP) organization chart which designates lines of primary responsibility and the relationships between all </w:t>
      </w:r>
      <w:r>
        <w:t>CCA</w:t>
      </w:r>
      <w:r>
        <w:t xml:space="preserve"> positions. Lines of responsibility shall in no way prevent staff members at all levels from collaborating, </w:t>
      </w:r>
      <w:proofErr w:type="gramStart"/>
      <w:r>
        <w:t>communicating</w:t>
      </w:r>
      <w:proofErr w:type="gramEnd"/>
      <w:r>
        <w:t xml:space="preserve"> and cooperating to develop the best possible programs and provide efficient services.</w:t>
      </w:r>
    </w:p>
    <w:p w14:paraId="5597EDBF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4088A9FA" w14:textId="6DD58AE4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Executive Director or </w:t>
      </w:r>
      <w:proofErr w:type="gramStart"/>
      <w:r>
        <w:t>designee</w:t>
      </w:r>
      <w:proofErr w:type="gramEnd"/>
      <w:r>
        <w:t xml:space="preserve"> may adjust staff responsibilities temporarily or permanently as needed to accommodate the workload and/or individual capabilities.</w:t>
      </w:r>
    </w:p>
    <w:p w14:paraId="55EDC3BF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4C13B605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Legal Reference:</w:t>
      </w:r>
    </w:p>
    <w:p w14:paraId="2B3AC60B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EDUCATION CODE</w:t>
      </w:r>
    </w:p>
    <w:p w14:paraId="08CC60E0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35010  Control</w:t>
      </w:r>
      <w:proofErr w:type="gramEnd"/>
      <w:r>
        <w:rPr>
          <w:i/>
          <w:iCs/>
          <w:sz w:val="20"/>
        </w:rPr>
        <w:t xml:space="preserve"> of district; prescription and enforcement of rules</w:t>
      </w:r>
    </w:p>
    <w:p w14:paraId="23AD32CA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35020  Duties</w:t>
      </w:r>
      <w:proofErr w:type="gramEnd"/>
      <w:r>
        <w:rPr>
          <w:i/>
          <w:iCs/>
          <w:sz w:val="20"/>
        </w:rPr>
        <w:t xml:space="preserve"> of employees fixed by governing board</w:t>
      </w:r>
    </w:p>
    <w:p w14:paraId="468238D0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35035  Powers</w:t>
      </w:r>
      <w:proofErr w:type="gramEnd"/>
      <w:r>
        <w:rPr>
          <w:i/>
          <w:iCs/>
          <w:sz w:val="20"/>
        </w:rPr>
        <w:t xml:space="preserve"> and duties of superintendent</w:t>
      </w:r>
    </w:p>
    <w:p w14:paraId="4A798992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Management Resources:</w:t>
      </w:r>
    </w:p>
    <w:p w14:paraId="339F954F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WEB SITES</w:t>
      </w:r>
    </w:p>
    <w:p w14:paraId="0C2FC76D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CSBA:  http://www.csba.org</w:t>
      </w:r>
    </w:p>
    <w:p w14:paraId="20025E44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ACSA:  http://www.acsa.org</w:t>
      </w:r>
    </w:p>
    <w:p w14:paraId="15E71CFD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5E4FD7EC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81B538C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B610165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37F49DF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541C31B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6E6CD82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F66C0E0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4024A9C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6F5189E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3BE25FE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0C4246B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5FE6E03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1EF0830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FB5D79D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19B0" w14:paraId="4DB0979E" w14:textId="77777777" w:rsidTr="00FB19B0">
        <w:tc>
          <w:tcPr>
            <w:tcW w:w="4675" w:type="dxa"/>
          </w:tcPr>
          <w:p w14:paraId="18F17EA4" w14:textId="77777777" w:rsidR="00FB19B0" w:rsidRDefault="00FB19B0" w:rsidP="00FB19B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Policy</w:t>
            </w:r>
          </w:p>
          <w:p w14:paraId="186BB00E" w14:textId="0C04C407" w:rsidR="00FB19B0" w:rsidRDefault="00FB19B0" w:rsidP="00FB19B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 xml:space="preserve">Adopted: </w:t>
            </w:r>
            <w:r>
              <w:t>October 25, 2007</w:t>
            </w:r>
          </w:p>
          <w:p w14:paraId="594F95C4" w14:textId="0059617D" w:rsidR="00FB19B0" w:rsidRDefault="00FB19B0" w:rsidP="00FB19B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Revised:  January 10, 2024</w:t>
            </w:r>
          </w:p>
        </w:tc>
        <w:tc>
          <w:tcPr>
            <w:tcW w:w="4675" w:type="dxa"/>
          </w:tcPr>
          <w:p w14:paraId="476544F5" w14:textId="77777777" w:rsidR="00FB19B0" w:rsidRPr="00FB19B0" w:rsidRDefault="00FB19B0" w:rsidP="00FB19B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B19B0">
              <w:rPr>
                <w:b/>
                <w:bCs/>
              </w:rPr>
              <w:t>COLLEGE AND CAREER ADVANTAGE</w:t>
            </w:r>
          </w:p>
          <w:p w14:paraId="5D31770A" w14:textId="57AD7A64" w:rsidR="00FB19B0" w:rsidRDefault="00FB19B0" w:rsidP="00FB19B0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jc w:val="right"/>
            </w:pPr>
            <w:r>
              <w:t>San Juan Capistrano, California</w:t>
            </w:r>
          </w:p>
        </w:tc>
      </w:tr>
    </w:tbl>
    <w:p w14:paraId="2E1D8B76" w14:textId="77777777" w:rsidR="00FB19B0" w:rsidRDefault="00FB19B0" w:rsidP="00FB19B0">
      <w:pPr>
        <w:widowControl w:val="0"/>
        <w:tabs>
          <w:tab w:val="right" w:pos="9000"/>
        </w:tabs>
        <w:autoSpaceDE w:val="0"/>
        <w:autoSpaceDN w:val="0"/>
        <w:adjustRightInd w:val="0"/>
      </w:pPr>
    </w:p>
    <w:sectPr w:rsidR="00FB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B0"/>
    <w:rsid w:val="000F231F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0B38"/>
  <w15:chartTrackingRefBased/>
  <w15:docId w15:val="{9F9A236B-6F03-4E13-829C-946DB4C9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B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9B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9B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9B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9B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9B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9B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9B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9B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9B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9B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9B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9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9B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9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Capistrano Unified School District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2024-01-10T19:51:00Z</dcterms:created>
  <dcterms:modified xsi:type="dcterms:W3CDTF">2024-01-10T19:55:00Z</dcterms:modified>
</cp:coreProperties>
</file>